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783E2F" w:rsidP="0067423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4232" w:rsidRPr="00674232">
              <w:rPr>
                <w:rFonts w:asciiTheme="majorHAnsi" w:hAnsiTheme="majorHAnsi" w:cs="Arial"/>
                <w:b/>
                <w:sz w:val="18"/>
                <w:szCs w:val="18"/>
              </w:rPr>
              <w:t>Modern Methods in Chemical Analysis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849C0">
              <w:rPr>
                <w:rFonts w:asciiTheme="majorHAnsi" w:hAnsiTheme="majorHAnsi" w:cs="Arial"/>
                <w:b/>
                <w:sz w:val="18"/>
                <w:szCs w:val="18"/>
              </w:rPr>
              <w:t>MMICA</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3B216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290C">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7D1DA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1DA6">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783E2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9E7AF1">
                    <w:rPr>
                      <w:rFonts w:asciiTheme="majorHAnsi" w:hAnsiTheme="majorHAnsi" w:cs="Arial"/>
                      <w:b/>
                      <w:sz w:val="18"/>
                      <w:szCs w:val="18"/>
                    </w:rPr>
                  </w:r>
                  <w:r w:rsidR="009E7AF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1D29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b/>
                <w:sz w:val="18"/>
                <w:szCs w:val="18"/>
              </w:rPr>
              <w:t>No</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1D29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cs="Arial"/>
                <w:b/>
                <w:sz w:val="18"/>
                <w:szCs w:val="18"/>
              </w:rPr>
              <w:t>No</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8F4F8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783E2F" w:rsidP="008F4F8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7D1DA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1DA6">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7D1DA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1DA6">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7D1DA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1DA6">
              <w:rPr>
                <w:rFonts w:asciiTheme="majorHAnsi" w:hAnsiTheme="majorHAnsi"/>
                <w:b/>
                <w:sz w:val="18"/>
                <w:szCs w:val="18"/>
              </w:rPr>
              <w:t>115,14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7D1DA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1DA6">
              <w:rPr>
                <w:rFonts w:asciiTheme="majorHAnsi" w:hAnsiTheme="majorHAnsi" w:cs="Arial"/>
                <w:b/>
                <w:sz w:val="18"/>
                <w:szCs w:val="18"/>
              </w:rPr>
              <w:t>160,14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783E2F"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1D290C">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783E2F"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67423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4232" w:rsidRPr="00674232">
              <w:rPr>
                <w:rFonts w:asciiTheme="majorHAnsi" w:hAnsiTheme="majorHAnsi" w:cs="Arial"/>
                <w:b/>
                <w:sz w:val="18"/>
                <w:szCs w:val="18"/>
              </w:rPr>
              <w:t>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7D1DA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1DA6" w:rsidRPr="007D1DA6">
              <w:rPr>
                <w:rFonts w:asciiTheme="majorHAnsi" w:hAnsiTheme="majorHAnsi" w:cs="Arial"/>
                <w:b/>
                <w:sz w:val="18"/>
                <w:szCs w:val="18"/>
              </w:rPr>
              <w:t>Chemistry / Chemistry / Specializations: Applied Chemistry and Environmental Chemistry and Quality Contro</w:t>
            </w:r>
            <w:r w:rsidR="007D1DA6">
              <w:rPr>
                <w:rFonts w:asciiTheme="majorHAnsi" w:hAnsiTheme="majorHAnsi" w:cs="Arial"/>
                <w:b/>
                <w:sz w:val="18"/>
                <w:szCs w:val="18"/>
              </w:rPr>
              <w:t>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783E2F" w:rsidP="001D29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sidRPr="001D290C">
              <w:rPr>
                <w:rFonts w:asciiTheme="majorHAnsi" w:hAnsiTheme="majorHAnsi" w:cs="Arial"/>
                <w:b/>
                <w:sz w:val="18"/>
                <w:szCs w:val="18"/>
              </w:rPr>
              <w:t>prof.dr. Mersiha Suljkanović</w:t>
            </w:r>
            <w:r w:rsidR="008F4F8B">
              <w:rPr>
                <w:rFonts w:asciiTheme="majorHAnsi" w:hAnsiTheme="majorHAnsi" w:cs="Arial"/>
                <w:b/>
                <w:sz w:val="18"/>
                <w:szCs w:val="18"/>
              </w:rPr>
              <w:t xml:space="preserve">, </w:t>
            </w:r>
            <w:r w:rsidR="008F4F8B" w:rsidRPr="008F4F8B">
              <w:rPr>
                <w:rFonts w:asciiTheme="majorHAnsi" w:hAnsiTheme="majorHAnsi" w:cs="Arial"/>
                <w:b/>
                <w:sz w:val="18"/>
                <w:szCs w:val="18"/>
              </w:rPr>
              <w:t>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83E2F" w:rsidP="007D1DA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1DA6" w:rsidRPr="007D1DA6">
              <w:rPr>
                <w:rFonts w:asciiTheme="majorHAnsi" w:hAnsiTheme="majorHAnsi" w:cs="Arial"/>
                <w:b/>
                <w:sz w:val="18"/>
                <w:szCs w:val="18"/>
              </w:rPr>
              <w:t xml:space="preserve">Introduction of students to the theoretical foundations of methods, techniques, and sensor systems used in modern analyses of biomolecules, biological samples, and industrial products, their application in chemistry, biotechnology, </w:t>
            </w:r>
            <w:r w:rsidR="007D1DA6" w:rsidRPr="007D1DA6">
              <w:rPr>
                <w:rFonts w:asciiTheme="majorHAnsi" w:hAnsiTheme="majorHAnsi" w:cs="Arial"/>
                <w:b/>
                <w:sz w:val="18"/>
                <w:szCs w:val="18"/>
              </w:rPr>
              <w:lastRenderedPageBreak/>
              <w:t>biomedicine, and pharmacy, as well as the regulations for conducting analyses in laboratories in accordance with European Union standards.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Upon successful completion of the course, students will be able to advance their fundamental knowledge of modern methods, techniques, and sensor systems in contemporary science and to apply this knowledge in independent scientific research.</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D1DA6" w:rsidRPr="007D1DA6" w:rsidRDefault="00783E2F" w:rsidP="007D1DA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1DA6" w:rsidRPr="007D1DA6">
              <w:rPr>
                <w:rFonts w:asciiTheme="majorHAnsi" w:hAnsiTheme="majorHAnsi" w:cs="Arial"/>
                <w:b/>
                <w:sz w:val="18"/>
                <w:szCs w:val="18"/>
              </w:rPr>
              <w:t>Automated methods (automatic and semi-automatic systems, coupled methods, automation of the analytical process: from sampling to data processing, flow systems – FIA, on-line analyzers).</w:t>
            </w:r>
          </w:p>
          <w:p w:rsidR="007D1DA6" w:rsidRPr="007D1DA6"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Atomic spectrometry: AAS, AES, and ICP-AES. Mass spectrometry: MS, MALDI-TOF.</w:t>
            </w:r>
          </w:p>
          <w:p w:rsidR="007D1DA6" w:rsidRPr="007D1DA6"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Chromatographic techniques: liquid chromatography (HPLC), gas chromatography GC (GC-MS, LC-MS, LC-MS/MS).</w:t>
            </w:r>
          </w:p>
          <w:p w:rsidR="007D1DA6" w:rsidRPr="007D1DA6"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Electrophoresis (SDS-PAGE, Western and Southern blot), characteristics and application of immunochemical methods.</w:t>
            </w:r>
          </w:p>
          <w:p w:rsidR="007D1DA6" w:rsidRPr="007D1DA6"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Structural analysis – microscopes: SEM, AFM.</w:t>
            </w:r>
          </w:p>
          <w:p w:rsidR="007D1DA6" w:rsidRPr="007D1DA6"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Characteristics and application of biosensors (optical biosensors, electrochemical sensors – potentiometric, amperometric and voltammetric sensors, enzyme-based biosensors and immunosensors).</w:t>
            </w:r>
          </w:p>
          <w:p w:rsidR="007D1DA6" w:rsidRPr="007D1DA6"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Application of modern chemical analysis methods in quality control of chemical, food, and pharmaceutical industry products, as well as toxic substances (food residues such as pesticides, mycotoxins, antibiotics, antioxidants, etc.). Conditions for conducting analyses in laboratories according to EU standards.</w:t>
            </w:r>
          </w:p>
          <w:p w:rsidR="00CB72ED" w:rsidRPr="00B96B4F"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Validation parameters and validation strategy of analytical methods.</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For the purpose of effective course delivery and the achievement of the expected learning outcomes and student competencies by the end of the semester, various teaching methods are employed:</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lectures (L),</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team/group projects (seminar papers) (GP), and</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short tests covering the essential content of the completed material.</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Assessment of student learning is carried out using the following methods: tests (midterm exams), a seminar paper, and a final exam.</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Student activity during lectures: maximum 5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Two tests (first and second midterm): maximum 2 × 15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Seminar paper within the course area: 15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Final exam: maximum 50 points.</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To pass the course, a student must achieve a minimum of 55 cumulative points.</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Pre-exam obligations: Tests: 30%; Seminar paper: 15%; Student activity: 5%.</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Final exam: 50%.</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To pass the course, a student must achieve a minimum of 55 cumulative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Grading system:</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six (6): 55–64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seven (7): 65–74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eight (8): 75–84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nine (9): 85–94 points</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1.  Lederman, N.G. Zeidler, D.L. Lederman, J.S. (2023) Handbook of Research on Science Education: Volume III. New York</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2. Dori. Y., Ngai. C., Szteinberg. G. (2023) Advanced in Chemistry Education series: Digital learning and teaching in chemistry. Royal Society of Chemistry</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3. J. M. Miller, J. B. Crowther: Analitical Chemistry in a GMP Environmental, John Wiley and Sons, INC., New York, 2000</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4. B.R. Eggins  (1996) Biosensors: An Introduction. Wiley-Teubner</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D1DA6" w:rsidRPr="007D1DA6" w:rsidRDefault="00783E2F" w:rsidP="007D1DA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1DA6" w:rsidRPr="007D1DA6">
              <w:rPr>
                <w:rFonts w:asciiTheme="majorHAnsi" w:hAnsiTheme="majorHAnsi" w:cs="Arial"/>
                <w:b/>
                <w:sz w:val="18"/>
                <w:szCs w:val="18"/>
              </w:rPr>
              <w:t>1.  Kumar Ghosh. S., Kumar Chattaraj. P., (2013) Concepts and Methods in Moder Theoretical Chemistry: Electronic Structure and Reactivity. CRC PressTaylor ansd Francis Group.</w:t>
            </w:r>
          </w:p>
          <w:p w:rsidR="00CB72ED" w:rsidRPr="00B96B4F" w:rsidRDefault="007D1DA6" w:rsidP="007D1DA6">
            <w:pPr>
              <w:pStyle w:val="NoSpacing"/>
              <w:rPr>
                <w:rFonts w:asciiTheme="majorHAnsi" w:hAnsiTheme="majorHAnsi" w:cs="Arial"/>
                <w:b/>
                <w:sz w:val="18"/>
                <w:szCs w:val="18"/>
              </w:rPr>
            </w:pPr>
            <w:r w:rsidRPr="007D1DA6">
              <w:rPr>
                <w:rFonts w:asciiTheme="majorHAnsi" w:hAnsiTheme="majorHAnsi" w:cs="Arial"/>
                <w:b/>
                <w:sz w:val="18"/>
                <w:szCs w:val="18"/>
              </w:rPr>
              <w:t xml:space="preserve">2. F.  Lottspeich, J. W. Engels (2006) Bioanalytik, Spektrum, Akad. Verlag, Berlin Heidelberg  </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83E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B2160">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B92E9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B2160">
              <w:rPr>
                <w:rFonts w:asciiTheme="majorHAnsi" w:hAnsiTheme="majorHAnsi" w:cs="Arial"/>
                <w:b/>
                <w:sz w:val="18"/>
                <w:szCs w:val="18"/>
              </w:rPr>
              <w:t>202</w:t>
            </w:r>
            <w:r w:rsidR="00B92E9F">
              <w:rPr>
                <w:rFonts w:asciiTheme="majorHAnsi" w:hAnsiTheme="majorHAnsi" w:cs="Arial"/>
                <w:b/>
                <w:sz w:val="18"/>
                <w:szCs w:val="18"/>
              </w:rPr>
              <w:t>4</w:t>
            </w:r>
            <w:r w:rsidR="003B2160">
              <w:rPr>
                <w:rFonts w:asciiTheme="majorHAnsi" w:hAnsiTheme="majorHAnsi" w:cs="Arial"/>
                <w:b/>
                <w:sz w:val="18"/>
                <w:szCs w:val="18"/>
              </w:rPr>
              <w:t>/2</w:t>
            </w:r>
            <w:r w:rsidR="00B92E9F">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783E2F">
            <w:pPr>
              <w:pStyle w:val="NoSpacing"/>
              <w:jc w:val="center"/>
              <w:rPr>
                <w:rFonts w:asciiTheme="majorHAnsi" w:hAnsiTheme="majorHAnsi" w:cs="Arial"/>
                <w:b/>
                <w:sz w:val="18"/>
                <w:szCs w:val="18"/>
              </w:rPr>
            </w:pPr>
            <w:r w:rsidRPr="007D1DA6">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7D1DA6">
              <w:rPr>
                <w:rFonts w:asciiTheme="majorHAnsi" w:hAnsiTheme="majorHAnsi" w:cs="Arial"/>
                <w:b/>
                <w:sz w:val="18"/>
                <w:szCs w:val="18"/>
              </w:rPr>
            </w:r>
            <w:r w:rsidRPr="007D1DA6">
              <w:rPr>
                <w:rFonts w:asciiTheme="majorHAnsi" w:hAnsiTheme="majorHAnsi" w:cs="Arial"/>
                <w:b/>
                <w:sz w:val="18"/>
                <w:szCs w:val="18"/>
              </w:rPr>
              <w:fldChar w:fldCharType="separate"/>
            </w:r>
            <w:r w:rsidR="00FB48B6" w:rsidRPr="000849C0">
              <w:rPr>
                <w:rFonts w:asciiTheme="majorHAnsi" w:hAnsiTheme="majorHAnsi" w:cs="Arial"/>
                <w:b/>
                <w:spacing w:val="216"/>
                <w:sz w:val="18"/>
                <w:szCs w:val="18"/>
              </w:rPr>
              <w:t>    </w:t>
            </w:r>
            <w:r w:rsidR="00FB48B6" w:rsidRPr="000849C0">
              <w:rPr>
                <w:rFonts w:asciiTheme="majorHAnsi" w:hAnsiTheme="majorHAnsi" w:cs="Arial"/>
                <w:b/>
                <w:spacing w:val="-1"/>
                <w:sz w:val="18"/>
                <w:szCs w:val="18"/>
              </w:rPr>
              <w:t> </w:t>
            </w:r>
            <w:r w:rsidRPr="000849C0">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AF1" w:rsidRDefault="009E7AF1">
      <w:pPr>
        <w:spacing w:line="240" w:lineRule="auto"/>
      </w:pPr>
      <w:r>
        <w:separator/>
      </w:r>
    </w:p>
  </w:endnote>
  <w:endnote w:type="continuationSeparator" w:id="0">
    <w:p w:rsidR="009E7AF1" w:rsidRDefault="009E7A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783E2F">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849C0">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783E2F">
            <w:rPr>
              <w:rFonts w:ascii="Cambria" w:hAnsi="Cambria" w:cs="Calibri"/>
              <w:sz w:val="16"/>
              <w:szCs w:val="16"/>
            </w:rPr>
            <w:fldChar w:fldCharType="begin"/>
          </w:r>
          <w:r w:rsidR="00FB48B6">
            <w:rPr>
              <w:rFonts w:ascii="Cambria" w:hAnsi="Cambria" w:cs="Calibri"/>
              <w:sz w:val="16"/>
              <w:szCs w:val="16"/>
            </w:rPr>
            <w:instrText xml:space="preserve"> PAGE </w:instrText>
          </w:r>
          <w:r w:rsidR="00783E2F">
            <w:rPr>
              <w:rFonts w:ascii="Cambria" w:hAnsi="Cambria" w:cs="Calibri"/>
              <w:sz w:val="16"/>
              <w:szCs w:val="16"/>
            </w:rPr>
            <w:fldChar w:fldCharType="separate"/>
          </w:r>
          <w:r w:rsidR="000849C0">
            <w:rPr>
              <w:rFonts w:ascii="Cambria" w:hAnsi="Cambria" w:cs="Calibri"/>
              <w:noProof/>
              <w:sz w:val="16"/>
              <w:szCs w:val="16"/>
            </w:rPr>
            <w:t>1</w:t>
          </w:r>
          <w:r w:rsidR="00783E2F">
            <w:rPr>
              <w:rFonts w:ascii="Cambria" w:hAnsi="Cambria" w:cs="Calibri"/>
              <w:sz w:val="16"/>
              <w:szCs w:val="16"/>
            </w:rPr>
            <w:fldChar w:fldCharType="end"/>
          </w:r>
          <w:r w:rsidR="00FB48B6">
            <w:rPr>
              <w:rFonts w:ascii="Cambria" w:hAnsi="Cambria" w:cs="Calibri"/>
              <w:sz w:val="16"/>
              <w:szCs w:val="16"/>
            </w:rPr>
            <w:t>/</w:t>
          </w:r>
          <w:r w:rsidR="00783E2F">
            <w:rPr>
              <w:rFonts w:ascii="Cambria" w:hAnsi="Cambria" w:cs="Calibri"/>
              <w:sz w:val="16"/>
              <w:szCs w:val="16"/>
            </w:rPr>
            <w:fldChar w:fldCharType="begin"/>
          </w:r>
          <w:r w:rsidR="00FB48B6">
            <w:rPr>
              <w:rFonts w:ascii="Cambria" w:hAnsi="Cambria" w:cs="Calibri"/>
              <w:sz w:val="16"/>
              <w:szCs w:val="16"/>
            </w:rPr>
            <w:instrText xml:space="preserve"> NUMPAGES  </w:instrText>
          </w:r>
          <w:r w:rsidR="00783E2F">
            <w:rPr>
              <w:rFonts w:ascii="Cambria" w:hAnsi="Cambria" w:cs="Calibri"/>
              <w:sz w:val="16"/>
              <w:szCs w:val="16"/>
            </w:rPr>
            <w:fldChar w:fldCharType="separate"/>
          </w:r>
          <w:r w:rsidR="000849C0">
            <w:rPr>
              <w:rFonts w:ascii="Cambria" w:hAnsi="Cambria" w:cs="Calibri"/>
              <w:noProof/>
              <w:sz w:val="16"/>
              <w:szCs w:val="16"/>
            </w:rPr>
            <w:t>3</w:t>
          </w:r>
          <w:r w:rsidR="00783E2F">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AF1" w:rsidRDefault="009E7AF1">
      <w:pPr>
        <w:spacing w:after="0"/>
      </w:pPr>
      <w:r>
        <w:separator/>
      </w:r>
    </w:p>
  </w:footnote>
  <w:footnote w:type="continuationSeparator" w:id="0">
    <w:p w:rsidR="009E7AF1" w:rsidRDefault="009E7A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849C0"/>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D290C"/>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10FF"/>
    <w:rsid w:val="0038278D"/>
    <w:rsid w:val="00382F61"/>
    <w:rsid w:val="003842BC"/>
    <w:rsid w:val="003A053B"/>
    <w:rsid w:val="003A7CC0"/>
    <w:rsid w:val="003B216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291D"/>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4232"/>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5CDC"/>
    <w:rsid w:val="00726A6B"/>
    <w:rsid w:val="00732054"/>
    <w:rsid w:val="007322C4"/>
    <w:rsid w:val="00736FAD"/>
    <w:rsid w:val="00740742"/>
    <w:rsid w:val="00750AEB"/>
    <w:rsid w:val="00751605"/>
    <w:rsid w:val="00762431"/>
    <w:rsid w:val="0076665F"/>
    <w:rsid w:val="00770212"/>
    <w:rsid w:val="007774BF"/>
    <w:rsid w:val="00777AA9"/>
    <w:rsid w:val="00782703"/>
    <w:rsid w:val="00783E2F"/>
    <w:rsid w:val="007923A6"/>
    <w:rsid w:val="00795A1E"/>
    <w:rsid w:val="00796127"/>
    <w:rsid w:val="007A10B1"/>
    <w:rsid w:val="007A3D42"/>
    <w:rsid w:val="007B1416"/>
    <w:rsid w:val="007C440D"/>
    <w:rsid w:val="007C6B98"/>
    <w:rsid w:val="007C769B"/>
    <w:rsid w:val="007D1DA6"/>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561BF"/>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7D7"/>
    <w:rsid w:val="008A385F"/>
    <w:rsid w:val="008B1315"/>
    <w:rsid w:val="008B1553"/>
    <w:rsid w:val="008B1CC2"/>
    <w:rsid w:val="008B2B7B"/>
    <w:rsid w:val="008B600C"/>
    <w:rsid w:val="008B735B"/>
    <w:rsid w:val="008C3345"/>
    <w:rsid w:val="008C56E8"/>
    <w:rsid w:val="008C57DA"/>
    <w:rsid w:val="008D436E"/>
    <w:rsid w:val="008D6C0E"/>
    <w:rsid w:val="008F2E88"/>
    <w:rsid w:val="008F4F8B"/>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E7AF1"/>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2E9F"/>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06ED"/>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EF835E-9182-4928-B95C-8C305E7E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6B144-E970-4DAB-9A01-9CF16325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9</cp:revision>
  <cp:lastPrinted>2024-03-25T13:56:00Z</cp:lastPrinted>
  <dcterms:created xsi:type="dcterms:W3CDTF">2026-04-25T04:50:00Z</dcterms:created>
  <dcterms:modified xsi:type="dcterms:W3CDTF">2026-04-27T11:22:00Z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